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36-6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Thermische Rechengutverwertung 2027-2029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